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80" w:rsidRPr="00F07380" w:rsidRDefault="00F07380" w:rsidP="005524A3">
      <w:pPr>
        <w:jc w:val="center"/>
        <w:rPr>
          <w:rFonts w:ascii="Times New Roman" w:hAnsi="Times New Roman" w:cs="Times New Roman"/>
          <w:b/>
          <w:i/>
          <w:sz w:val="24"/>
          <w:szCs w:val="24"/>
        </w:rPr>
      </w:pPr>
      <w:bookmarkStart w:id="0" w:name="_GoBack"/>
      <w:bookmarkEnd w:id="0"/>
      <w:r w:rsidRPr="00F07380">
        <w:rPr>
          <w:rFonts w:ascii="Times New Roman" w:hAnsi="Times New Roman" w:cs="Times New Roman"/>
          <w:b/>
          <w:i/>
          <w:sz w:val="24"/>
          <w:szCs w:val="24"/>
        </w:rPr>
        <w:t>Rezolucja Zgromadzenia ZNSSK w Polsce z okazji ogłoszonego</w:t>
      </w:r>
    </w:p>
    <w:p w:rsidR="00F07380" w:rsidRPr="005524A3" w:rsidRDefault="00F07380" w:rsidP="005524A3">
      <w:pPr>
        <w:jc w:val="center"/>
        <w:rPr>
          <w:rFonts w:ascii="Times New Roman" w:hAnsi="Times New Roman" w:cs="Times New Roman"/>
          <w:b/>
          <w:i/>
          <w:sz w:val="24"/>
          <w:szCs w:val="24"/>
        </w:rPr>
      </w:pPr>
      <w:r w:rsidRPr="00F07380">
        <w:rPr>
          <w:rFonts w:ascii="Times New Roman" w:hAnsi="Times New Roman" w:cs="Times New Roman"/>
          <w:b/>
          <w:i/>
          <w:sz w:val="24"/>
          <w:szCs w:val="24"/>
        </w:rPr>
        <w:t xml:space="preserve">przez Sejm RP </w:t>
      </w:r>
      <w:r w:rsidR="005009E1">
        <w:rPr>
          <w:rFonts w:ascii="Times New Roman" w:hAnsi="Times New Roman" w:cs="Times New Roman"/>
          <w:b/>
          <w:i/>
          <w:sz w:val="24"/>
          <w:szCs w:val="24"/>
        </w:rPr>
        <w:t>„</w:t>
      </w:r>
      <w:r w:rsidRPr="00F07380">
        <w:rPr>
          <w:rFonts w:ascii="Times New Roman" w:hAnsi="Times New Roman" w:cs="Times New Roman"/>
          <w:b/>
          <w:i/>
          <w:sz w:val="24"/>
          <w:szCs w:val="24"/>
        </w:rPr>
        <w:t>roku powstań śląskich</w:t>
      </w:r>
      <w:r w:rsidR="005009E1">
        <w:rPr>
          <w:rFonts w:ascii="Times New Roman" w:hAnsi="Times New Roman" w:cs="Times New Roman"/>
          <w:b/>
          <w:i/>
          <w:sz w:val="24"/>
          <w:szCs w:val="24"/>
        </w:rPr>
        <w:t>”</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Świadomi faktu, że Sejm RP ogłosił rok 2019 w związku z 100 rocznicą</w:t>
      </w:r>
      <w:r w:rsidR="0031189A">
        <w:rPr>
          <w:rFonts w:ascii="Times New Roman" w:hAnsi="Times New Roman" w:cs="Times New Roman"/>
          <w:sz w:val="24"/>
          <w:szCs w:val="24"/>
        </w:rPr>
        <w:t xml:space="preserve"> wybuchu I Powstania Śląskiego </w:t>
      </w:r>
      <w:r w:rsidR="005009E1">
        <w:rPr>
          <w:rFonts w:ascii="Times New Roman" w:hAnsi="Times New Roman" w:cs="Times New Roman"/>
          <w:sz w:val="24"/>
          <w:szCs w:val="24"/>
        </w:rPr>
        <w:t>„</w:t>
      </w:r>
      <w:r w:rsidRPr="00F07380">
        <w:rPr>
          <w:rFonts w:ascii="Times New Roman" w:hAnsi="Times New Roman" w:cs="Times New Roman"/>
          <w:sz w:val="24"/>
          <w:szCs w:val="24"/>
        </w:rPr>
        <w:t>rokiem powstań śląskich</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oraz, że ten fakt wraz z innymi wydarzeniami wpisuje się w obchody 100-lecia odrodzenia Rzeczpospolitej Polskiej jako najwyższy reprezentant społeczności Niemców w Polsce</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pragniemy zwrócić się z prośbą o obchodzenie tej rocznicy w tym jak i kolejnych latach w sposób godny i pełen szacunku dla wszystkich wówczas zwaśnionych stron tego bratobójczego konfliktu. </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 xml:space="preserve">Z perspektywy czasu dostrzegamy ówczesne wysiłki społeczności międzynarodowej, która nie bez błędów, budując powojenny kształt Europy starała się godzić ideę tworzenia państw narodowych ze świadomością wielokulturowości regionów, które miały podzielić nowe granice. Efektem była próba realizacji zasady samostanowienia narodów poprzez ideę plebiscytów oraz wysiłki stworzenia podwalin polityki wobec mniejszości narodowych </w:t>
      </w:r>
      <w:r w:rsidR="0031189A">
        <w:rPr>
          <w:rFonts w:ascii="Times New Roman" w:hAnsi="Times New Roman" w:cs="Times New Roman"/>
          <w:sz w:val="24"/>
          <w:szCs w:val="24"/>
        </w:rPr>
        <w:t xml:space="preserve">                  </w:t>
      </w:r>
      <w:r w:rsidRPr="00F07380">
        <w:rPr>
          <w:rFonts w:ascii="Times New Roman" w:hAnsi="Times New Roman" w:cs="Times New Roman"/>
          <w:sz w:val="24"/>
          <w:szCs w:val="24"/>
        </w:rPr>
        <w:t xml:space="preserve">i etnicznych z określeniem ich praw językowych, kulturowych i oświatowych.  </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Dlatego pamięć o powstaniach śląskich nie może być oderwana od faktu, że większość ówczesnych Ślązaków na Górnym Śląsku (59.5%) oraz Warmiaków i Mazurów (96,3%) poprzez plebiscyt</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zarządzony na ich ziemi przez Traktat Wersalski</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opowiedziała się za pozostaniem tych regionów w nowych</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demokratycznie kształtowanych Niemczech. Z szacunkiem odczytujemy 98% udział w plebiscycie uprawnionych do głosowania</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co wskazuje na ogrom nadziei wiązanych z tą demokratyczną procedurą oraz znaczenie decyzji dla głosujących.  </w:t>
      </w:r>
    </w:p>
    <w:p w:rsidR="00F07380" w:rsidRPr="00F07380" w:rsidRDefault="00CB03AF" w:rsidP="00F07380">
      <w:pPr>
        <w:jc w:val="both"/>
        <w:rPr>
          <w:rFonts w:ascii="Times New Roman" w:hAnsi="Times New Roman" w:cs="Times New Roman"/>
          <w:sz w:val="24"/>
          <w:szCs w:val="24"/>
        </w:rPr>
      </w:pPr>
      <w:r w:rsidRPr="004D1F71">
        <w:rPr>
          <w:rFonts w:ascii="Times New Roman" w:hAnsi="Times New Roman" w:cs="Times New Roman"/>
          <w:sz w:val="24"/>
          <w:szCs w:val="24"/>
        </w:rPr>
        <w:t xml:space="preserve">Jak wiadomo z historiografii potwierdzonej również współczesnymi badaniami i publikacjami polskich historyków </w:t>
      </w:r>
      <w:r w:rsidR="00F07380" w:rsidRPr="00F07380">
        <w:rPr>
          <w:rFonts w:ascii="Times New Roman" w:hAnsi="Times New Roman" w:cs="Times New Roman"/>
          <w:sz w:val="24"/>
          <w:szCs w:val="24"/>
        </w:rPr>
        <w:t xml:space="preserve">uzależnienie przyszłości Warmii, Mazur i Górnego Śląska przez aliantów od wyników plebiscytu a później niekorzystne dla Polski ich wyniki wywołały niezadowolenie części Ślązaków, które wspierane nieoficjalnymi działaniami struktur Rzeczpospolitej Polskiej, doprowadziło na Górnym Śląsku do wybuchu trzech powstań śląskich jako próby wpływu na decyzje mocarstw poprzez tworzenie faktów dokonanych. </w:t>
      </w:r>
      <w:r w:rsidR="0031189A">
        <w:rPr>
          <w:rFonts w:ascii="Times New Roman" w:hAnsi="Times New Roman" w:cs="Times New Roman"/>
          <w:sz w:val="24"/>
          <w:szCs w:val="24"/>
        </w:rPr>
        <w:t xml:space="preserve">         </w:t>
      </w:r>
      <w:r w:rsidR="00F07380" w:rsidRPr="00F07380">
        <w:rPr>
          <w:rFonts w:ascii="Times New Roman" w:hAnsi="Times New Roman" w:cs="Times New Roman"/>
          <w:sz w:val="24"/>
          <w:szCs w:val="24"/>
        </w:rPr>
        <w:t>W sytuacji ograniczenia funkcjonowania struktur państwa niemieckiego na obszarze plebiscytowym oraz problemach z zachowaniem neutralności przez stacjonujące tam siły alianckie Ślązacy widzący swą przyszłość w granicach Niemiec wraz z innymi przedstawicielami społeczności niemieckiej podjęli działania mające ustrzec integralność terytorialną ówczesnych Niemiec. Wskutek tego podziału społeczeństwa górnośląskiego doszło do bratobójczych walk w kraju, który przez wieki stworzył model pokojowego współżycia</w:t>
      </w:r>
      <w:r w:rsidR="005009E1">
        <w:rPr>
          <w:rFonts w:ascii="Times New Roman" w:hAnsi="Times New Roman" w:cs="Times New Roman"/>
          <w:sz w:val="24"/>
          <w:szCs w:val="24"/>
        </w:rPr>
        <w:t>,</w:t>
      </w:r>
      <w:r w:rsidR="00F07380" w:rsidRPr="00F07380">
        <w:rPr>
          <w:rFonts w:ascii="Times New Roman" w:hAnsi="Times New Roman" w:cs="Times New Roman"/>
          <w:sz w:val="24"/>
          <w:szCs w:val="24"/>
        </w:rPr>
        <w:t xml:space="preserve"> pomimo różnic kulturowych, językowych i wyznaniowych. Efektem był bolesny podział Śląska, który rozdzielił historycznie, kulturowo i gospodarczo zrośnięte z sobą ziemie, miejscowości i rodziny. </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 xml:space="preserve">W symboliczną 100 rocznicę tamtych wydarzeń pragniemy, bez względu na poglądy, </w:t>
      </w:r>
      <w:r w:rsidR="0031189A">
        <w:rPr>
          <w:rFonts w:ascii="Times New Roman" w:hAnsi="Times New Roman" w:cs="Times New Roman"/>
          <w:sz w:val="24"/>
          <w:szCs w:val="24"/>
        </w:rPr>
        <w:t xml:space="preserve">           </w:t>
      </w:r>
      <w:r w:rsidRPr="00F07380">
        <w:rPr>
          <w:rFonts w:ascii="Times New Roman" w:hAnsi="Times New Roman" w:cs="Times New Roman"/>
          <w:sz w:val="24"/>
          <w:szCs w:val="24"/>
        </w:rPr>
        <w:t xml:space="preserve">w duchu chrześcijańskim oddać cześć wszystkim, którzy za swą postawę zapłacili najwyższą </w:t>
      </w:r>
      <w:r w:rsidRPr="00F07380">
        <w:rPr>
          <w:rFonts w:ascii="Times New Roman" w:hAnsi="Times New Roman" w:cs="Times New Roman"/>
          <w:sz w:val="24"/>
          <w:szCs w:val="24"/>
        </w:rPr>
        <w:lastRenderedPageBreak/>
        <w:t>cenę</w:t>
      </w:r>
      <w:r w:rsidR="005009E1">
        <w:rPr>
          <w:rFonts w:ascii="Times New Roman" w:hAnsi="Times New Roman" w:cs="Times New Roman"/>
          <w:sz w:val="24"/>
          <w:szCs w:val="24"/>
        </w:rPr>
        <w:t>,</w:t>
      </w:r>
      <w:r w:rsidRPr="00F07380">
        <w:rPr>
          <w:rFonts w:ascii="Times New Roman" w:hAnsi="Times New Roman" w:cs="Times New Roman"/>
          <w:sz w:val="24"/>
          <w:szCs w:val="24"/>
        </w:rPr>
        <w:t xml:space="preserve"> oddając swe życie. Ze smutkiem pochylamy się nad tymi, którzy w czasie tamtych wydarzeń i po nich cierpieli dyskryminację, wykluczenie lub na skutek przesiedleń utracili swoje domy i swój </w:t>
      </w:r>
      <w:proofErr w:type="spellStart"/>
      <w:r w:rsidRPr="00F07380">
        <w:rPr>
          <w:rFonts w:ascii="Times New Roman" w:hAnsi="Times New Roman" w:cs="Times New Roman"/>
          <w:sz w:val="24"/>
          <w:szCs w:val="24"/>
        </w:rPr>
        <w:t>Heimat</w:t>
      </w:r>
      <w:proofErr w:type="spellEnd"/>
      <w:r w:rsidRPr="00F07380">
        <w:rPr>
          <w:rFonts w:ascii="Times New Roman" w:hAnsi="Times New Roman" w:cs="Times New Roman"/>
          <w:sz w:val="24"/>
          <w:szCs w:val="24"/>
        </w:rPr>
        <w:t xml:space="preserve">. Dotknęło to nie tylko naszych przodków na Śląsku, ale także  na Mazurach. Z szacunkiem pochylamy się przed tymi, którzy z wiarą w nową rzeczywistość powojenną i w poczuciu obowiązku obywatelskiego oddawali swe głosy w plebiscytach. Postawę takiego szacunku na Górze św. Anny przedstawił Prezydent B. Komorowski, który mówiąc o powstańcach powiedział, że "za sen o polskim Śląsku wielu oddało życie". Jednak dodał, że  naprzeciw powstańcom śląskim stanęli także inni Ślązacy, "ci, którzy czuli się Niemcami i chcieli, by Śląsk pozostał nadal częścią państwa niemieckiego". Prosimy, by tę rocznicę obchodzono w duchu takiego szacunku dla Ślązaków, którzy czy to swym głosem </w:t>
      </w:r>
      <w:r w:rsidR="0031189A">
        <w:rPr>
          <w:rFonts w:ascii="Times New Roman" w:hAnsi="Times New Roman" w:cs="Times New Roman"/>
          <w:sz w:val="24"/>
          <w:szCs w:val="24"/>
        </w:rPr>
        <w:t xml:space="preserve">           </w:t>
      </w:r>
      <w:r w:rsidRPr="00F07380">
        <w:rPr>
          <w:rFonts w:ascii="Times New Roman" w:hAnsi="Times New Roman" w:cs="Times New Roman"/>
          <w:sz w:val="24"/>
          <w:szCs w:val="24"/>
        </w:rPr>
        <w:t xml:space="preserve">w plebiscycie czy postawą w czasie powstań śląskich lat 1919, 1920, 1921 różniąc się co do kierunku jej rozwoju, dawali dowód umiłowania swojej ojczyzny.  </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Jesteśmy wdzięczni historykom</w:t>
      </w:r>
      <w:r w:rsidRPr="004D1F71">
        <w:rPr>
          <w:rFonts w:ascii="Times New Roman" w:hAnsi="Times New Roman" w:cs="Times New Roman"/>
          <w:sz w:val="24"/>
          <w:szCs w:val="24"/>
        </w:rPr>
        <w:t xml:space="preserve">, którzy współcześnie odrzucając ograniczenia płynące </w:t>
      </w:r>
      <w:r w:rsidR="0031189A">
        <w:rPr>
          <w:rFonts w:ascii="Times New Roman" w:hAnsi="Times New Roman" w:cs="Times New Roman"/>
          <w:sz w:val="24"/>
          <w:szCs w:val="24"/>
        </w:rPr>
        <w:t xml:space="preserve">          </w:t>
      </w:r>
      <w:r w:rsidRPr="004D1F71">
        <w:rPr>
          <w:rFonts w:ascii="Times New Roman" w:hAnsi="Times New Roman" w:cs="Times New Roman"/>
          <w:sz w:val="24"/>
          <w:szCs w:val="24"/>
        </w:rPr>
        <w:t>z ideologicznego podejścia „polityki historycznej”, zwłaszcza okresu sanacji</w:t>
      </w:r>
      <w:r w:rsidR="005009E1">
        <w:rPr>
          <w:rFonts w:ascii="Times New Roman" w:hAnsi="Times New Roman" w:cs="Times New Roman"/>
          <w:sz w:val="24"/>
          <w:szCs w:val="24"/>
        </w:rPr>
        <w:t>,</w:t>
      </w:r>
      <w:r w:rsidRPr="004D1F71">
        <w:rPr>
          <w:rFonts w:ascii="Times New Roman" w:hAnsi="Times New Roman" w:cs="Times New Roman"/>
          <w:sz w:val="24"/>
          <w:szCs w:val="24"/>
        </w:rPr>
        <w:t xml:space="preserve"> a później PRL, badają całą złożoność polityki ówczesnych mocarstw</w:t>
      </w:r>
      <w:r w:rsidR="00CB03AF" w:rsidRPr="004D1F71">
        <w:rPr>
          <w:rFonts w:ascii="Times New Roman" w:hAnsi="Times New Roman" w:cs="Times New Roman"/>
          <w:sz w:val="24"/>
          <w:szCs w:val="24"/>
        </w:rPr>
        <w:t xml:space="preserve"> Wielkiej Brytanii, Francji, Stanów Zjednoczonych i Włoch</w:t>
      </w:r>
      <w:r w:rsidRPr="004D1F71">
        <w:rPr>
          <w:rFonts w:ascii="Times New Roman" w:hAnsi="Times New Roman" w:cs="Times New Roman"/>
          <w:sz w:val="24"/>
          <w:szCs w:val="24"/>
        </w:rPr>
        <w:t>,</w:t>
      </w:r>
      <w:r w:rsidR="00CB03AF" w:rsidRPr="004D1F71">
        <w:rPr>
          <w:rFonts w:ascii="Times New Roman" w:hAnsi="Times New Roman" w:cs="Times New Roman"/>
          <w:sz w:val="24"/>
          <w:szCs w:val="24"/>
        </w:rPr>
        <w:t xml:space="preserve"> ale i bezpośrednio zainteresowanych</w:t>
      </w:r>
      <w:r w:rsidRPr="004D1F71">
        <w:rPr>
          <w:rFonts w:ascii="Times New Roman" w:hAnsi="Times New Roman" w:cs="Times New Roman"/>
          <w:sz w:val="24"/>
          <w:szCs w:val="24"/>
        </w:rPr>
        <w:t xml:space="preserve"> Polski i Niemiec wobec Górnego Śląska. Popularyzacja wyników ich pracy pozostaje obowiązkiem </w:t>
      </w:r>
      <w:r w:rsidRPr="00F07380">
        <w:rPr>
          <w:rFonts w:ascii="Times New Roman" w:hAnsi="Times New Roman" w:cs="Times New Roman"/>
          <w:sz w:val="24"/>
          <w:szCs w:val="24"/>
        </w:rPr>
        <w:t xml:space="preserve">nas wszystkich ale przede wszystkim instytucji oświatowych, które powinny uwzględniać je w programach nauczania i podręcznikach szkolnych. Obiektywny przekaz historyczny łatwiej jest pogodzić z pamięcią przechowywaną w tysiącach śląskich rodzin. </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 xml:space="preserve">Niechaj ta rocznica stanie się wezwaniem do zgody społecznej, szacunku dla różnorodności kulturowej i językowej mniejszości narodowych, prawa do ich własnej pamięci historycznej </w:t>
      </w:r>
      <w:r w:rsidR="0031189A">
        <w:rPr>
          <w:rFonts w:ascii="Times New Roman" w:hAnsi="Times New Roman" w:cs="Times New Roman"/>
          <w:sz w:val="24"/>
          <w:szCs w:val="24"/>
        </w:rPr>
        <w:t xml:space="preserve">          </w:t>
      </w:r>
      <w:r w:rsidRPr="00F07380">
        <w:rPr>
          <w:rFonts w:ascii="Times New Roman" w:hAnsi="Times New Roman" w:cs="Times New Roman"/>
          <w:sz w:val="24"/>
          <w:szCs w:val="24"/>
        </w:rPr>
        <w:t xml:space="preserve">i kultywowania swej tożsamości, a także docenienia znaczenia dobrych relacji polsko-niemieckich oraz integrowania się krajów w ramach wspólnoty Unii Europejskiej jako alternatywy dla konfliktów wokół partykularnych interesów społeczności naszego kontynentu. </w:t>
      </w:r>
    </w:p>
    <w:p w:rsidR="00F07380"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 xml:space="preserve">Zgromadzeni pragną zaapelować o podjęcie inicjatywy stworzenia na Śląsku miejsca pamięci tamtych wydarzeń utrzymanego w duchu pojednania i przezwyciężenia przyczyn tamtych konfliktów. Inicjatywa ta powinna zjednoczyć wokół tej idei instytucje państwowe </w:t>
      </w:r>
      <w:r w:rsidR="0031189A">
        <w:rPr>
          <w:rFonts w:ascii="Times New Roman" w:hAnsi="Times New Roman" w:cs="Times New Roman"/>
          <w:sz w:val="24"/>
          <w:szCs w:val="24"/>
        </w:rPr>
        <w:t xml:space="preserve">                  </w:t>
      </w:r>
      <w:r w:rsidRPr="00F07380">
        <w:rPr>
          <w:rFonts w:ascii="Times New Roman" w:hAnsi="Times New Roman" w:cs="Times New Roman"/>
          <w:sz w:val="24"/>
          <w:szCs w:val="24"/>
        </w:rPr>
        <w:t xml:space="preserve">i samorządowe oraz wszystkie śląskie środowiska społeczne, kulturalne i mniejszości narodowych. Apel ten delegaci zgromadzeni na Górze św. Anny podejmują także w trosce </w:t>
      </w:r>
      <w:r w:rsidR="0031189A">
        <w:rPr>
          <w:rFonts w:ascii="Times New Roman" w:hAnsi="Times New Roman" w:cs="Times New Roman"/>
          <w:sz w:val="24"/>
          <w:szCs w:val="24"/>
        </w:rPr>
        <w:t xml:space="preserve">         </w:t>
      </w:r>
      <w:r w:rsidRPr="00F07380">
        <w:rPr>
          <w:rFonts w:ascii="Times New Roman" w:hAnsi="Times New Roman" w:cs="Times New Roman"/>
          <w:sz w:val="24"/>
          <w:szCs w:val="24"/>
        </w:rPr>
        <w:t>o rea</w:t>
      </w:r>
      <w:r w:rsidR="005009E1">
        <w:rPr>
          <w:rFonts w:ascii="Times New Roman" w:hAnsi="Times New Roman" w:cs="Times New Roman"/>
          <w:sz w:val="24"/>
          <w:szCs w:val="24"/>
        </w:rPr>
        <w:t>lizację wypowiedzianych na tej G</w:t>
      </w:r>
      <w:r w:rsidRPr="00F07380">
        <w:rPr>
          <w:rFonts w:ascii="Times New Roman" w:hAnsi="Times New Roman" w:cs="Times New Roman"/>
          <w:sz w:val="24"/>
          <w:szCs w:val="24"/>
        </w:rPr>
        <w:t xml:space="preserve">órze słów Papieża Jana Pawła II, że „ ta ziemia nadal potrzebuje wielorakiego pojednania”. </w:t>
      </w:r>
    </w:p>
    <w:p w:rsidR="00F07380" w:rsidRPr="00F07380" w:rsidRDefault="00F07380" w:rsidP="00F07380">
      <w:pPr>
        <w:jc w:val="both"/>
        <w:rPr>
          <w:rFonts w:ascii="Times New Roman" w:hAnsi="Times New Roman" w:cs="Times New Roman"/>
          <w:sz w:val="24"/>
          <w:szCs w:val="24"/>
        </w:rPr>
      </w:pPr>
    </w:p>
    <w:p w:rsidR="009F7B0A" w:rsidRPr="00F07380" w:rsidRDefault="00F07380" w:rsidP="00F07380">
      <w:pPr>
        <w:jc w:val="both"/>
        <w:rPr>
          <w:rFonts w:ascii="Times New Roman" w:hAnsi="Times New Roman" w:cs="Times New Roman"/>
          <w:sz w:val="24"/>
          <w:szCs w:val="24"/>
        </w:rPr>
      </w:pPr>
      <w:r w:rsidRPr="00F07380">
        <w:rPr>
          <w:rFonts w:ascii="Times New Roman" w:hAnsi="Times New Roman" w:cs="Times New Roman"/>
          <w:sz w:val="24"/>
          <w:szCs w:val="24"/>
        </w:rPr>
        <w:t xml:space="preserve">Góra św. Anny, </w:t>
      </w:r>
      <w:r w:rsidR="00204255">
        <w:rPr>
          <w:rFonts w:ascii="Times New Roman" w:hAnsi="Times New Roman" w:cs="Times New Roman"/>
          <w:sz w:val="24"/>
          <w:szCs w:val="24"/>
        </w:rPr>
        <w:t xml:space="preserve">dnia </w:t>
      </w:r>
      <w:r w:rsidRPr="00F07380">
        <w:rPr>
          <w:rFonts w:ascii="Times New Roman" w:hAnsi="Times New Roman" w:cs="Times New Roman"/>
          <w:sz w:val="24"/>
          <w:szCs w:val="24"/>
        </w:rPr>
        <w:t>11</w:t>
      </w:r>
      <w:r w:rsidR="00C30871">
        <w:rPr>
          <w:rFonts w:ascii="Times New Roman" w:hAnsi="Times New Roman" w:cs="Times New Roman"/>
          <w:sz w:val="24"/>
          <w:szCs w:val="24"/>
        </w:rPr>
        <w:t xml:space="preserve"> </w:t>
      </w:r>
      <w:r w:rsidR="00863945">
        <w:rPr>
          <w:rFonts w:ascii="Times New Roman" w:hAnsi="Times New Roman" w:cs="Times New Roman"/>
          <w:sz w:val="24"/>
          <w:szCs w:val="24"/>
        </w:rPr>
        <w:t xml:space="preserve">maja </w:t>
      </w:r>
      <w:r w:rsidRPr="00F07380">
        <w:rPr>
          <w:rFonts w:ascii="Times New Roman" w:hAnsi="Times New Roman" w:cs="Times New Roman"/>
          <w:sz w:val="24"/>
          <w:szCs w:val="24"/>
        </w:rPr>
        <w:t>2019</w:t>
      </w:r>
      <w:r w:rsidR="00204255">
        <w:rPr>
          <w:rFonts w:ascii="Times New Roman" w:hAnsi="Times New Roman" w:cs="Times New Roman"/>
          <w:sz w:val="24"/>
          <w:szCs w:val="24"/>
        </w:rPr>
        <w:t xml:space="preserve"> </w:t>
      </w:r>
      <w:r w:rsidR="00863945">
        <w:rPr>
          <w:rFonts w:ascii="Times New Roman" w:hAnsi="Times New Roman" w:cs="Times New Roman"/>
          <w:sz w:val="24"/>
          <w:szCs w:val="24"/>
        </w:rPr>
        <w:t>r.</w:t>
      </w:r>
    </w:p>
    <w:sectPr w:rsidR="009F7B0A" w:rsidRPr="00F07380" w:rsidSect="00462ED5">
      <w:headerReference w:type="default" r:id="rId7"/>
      <w:footerReference w:type="default" r:id="rId8"/>
      <w:headerReference w:type="first" r:id="rId9"/>
      <w:footerReference w:type="first" r:id="rId10"/>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43" w:rsidRDefault="00871F43" w:rsidP="00C2451C">
      <w:pPr>
        <w:spacing w:after="0" w:line="240" w:lineRule="auto"/>
      </w:pPr>
      <w:r>
        <w:separator/>
      </w:r>
    </w:p>
  </w:endnote>
  <w:endnote w:type="continuationSeparator" w:id="0">
    <w:p w:rsidR="00871F43" w:rsidRDefault="00871F43" w:rsidP="00C2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856065"/>
      <w:docPartObj>
        <w:docPartGallery w:val="Page Numbers (Bottom of Page)"/>
        <w:docPartUnique/>
      </w:docPartObj>
    </w:sdtPr>
    <w:sdtEndPr/>
    <w:sdtContent>
      <w:p w:rsidR="005524A3" w:rsidRDefault="005524A3">
        <w:pPr>
          <w:pStyle w:val="Stopka"/>
          <w:jc w:val="center"/>
        </w:pPr>
        <w:r>
          <w:fldChar w:fldCharType="begin"/>
        </w:r>
        <w:r>
          <w:instrText>PAGE   \* MERGEFORMAT</w:instrText>
        </w:r>
        <w:r>
          <w:fldChar w:fldCharType="separate"/>
        </w:r>
        <w:r w:rsidR="00EA667E">
          <w:rPr>
            <w:noProof/>
          </w:rPr>
          <w:t>2</w:t>
        </w:r>
        <w:r>
          <w:fldChar w:fldCharType="end"/>
        </w:r>
      </w:p>
    </w:sdtContent>
  </w:sdt>
  <w:p w:rsidR="005524A3" w:rsidRDefault="005524A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903300"/>
      <w:docPartObj>
        <w:docPartGallery w:val="Page Numbers (Bottom of Page)"/>
        <w:docPartUnique/>
      </w:docPartObj>
    </w:sdtPr>
    <w:sdtEndPr/>
    <w:sdtContent>
      <w:p w:rsidR="00EC4E60" w:rsidRDefault="00EC4E60">
        <w:pPr>
          <w:pStyle w:val="Stopka"/>
          <w:jc w:val="center"/>
        </w:pPr>
        <w:r>
          <w:fldChar w:fldCharType="begin"/>
        </w:r>
        <w:r>
          <w:instrText>PAGE   \* MERGEFORMAT</w:instrText>
        </w:r>
        <w:r>
          <w:fldChar w:fldCharType="separate"/>
        </w:r>
        <w:r w:rsidR="00EA667E">
          <w:rPr>
            <w:noProof/>
          </w:rPr>
          <w:t>1</w:t>
        </w:r>
        <w:r>
          <w:fldChar w:fldCharType="end"/>
        </w:r>
      </w:p>
    </w:sdtContent>
  </w:sdt>
  <w:p w:rsidR="00603482" w:rsidRDefault="006034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43" w:rsidRDefault="00871F43" w:rsidP="00C2451C">
      <w:pPr>
        <w:spacing w:after="0" w:line="240" w:lineRule="auto"/>
      </w:pPr>
      <w:r>
        <w:separator/>
      </w:r>
    </w:p>
  </w:footnote>
  <w:footnote w:type="continuationSeparator" w:id="0">
    <w:p w:rsidR="00871F43" w:rsidRDefault="00871F43" w:rsidP="00C2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2451C" w:rsidTr="00C2451C">
      <w:tc>
        <w:tcPr>
          <w:tcW w:w="4606" w:type="dxa"/>
        </w:tcPr>
        <w:p w:rsidR="00C2451C" w:rsidRDefault="00C2451C">
          <w:pPr>
            <w:pStyle w:val="Nagwek"/>
          </w:pPr>
        </w:p>
      </w:tc>
      <w:tc>
        <w:tcPr>
          <w:tcW w:w="4606" w:type="dxa"/>
        </w:tcPr>
        <w:p w:rsidR="00C2451C" w:rsidRDefault="00C2451C">
          <w:pPr>
            <w:pStyle w:val="Nagwek"/>
          </w:pPr>
        </w:p>
      </w:tc>
    </w:tr>
  </w:tbl>
  <w:p w:rsidR="00C2451C" w:rsidRDefault="00C245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5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2"/>
      <w:gridCol w:w="6923"/>
    </w:tblGrid>
    <w:tr w:rsidR="00A02A2B" w:rsidRPr="00C2451C" w:rsidTr="00363B8A">
      <w:trPr>
        <w:trHeight w:val="570"/>
        <w:jc w:val="center"/>
      </w:trPr>
      <w:tc>
        <w:tcPr>
          <w:tcW w:w="2622" w:type="dxa"/>
          <w:vMerge w:val="restart"/>
          <w:vAlign w:val="center"/>
        </w:tcPr>
        <w:p w:rsidR="00A02A2B" w:rsidRDefault="00A02A2B" w:rsidP="00C2451C">
          <w:pPr>
            <w:pStyle w:val="Nagwek"/>
          </w:pPr>
          <w:r>
            <w:rPr>
              <w:noProof/>
              <w:lang w:val="de-DE" w:eastAsia="de-DE"/>
            </w:rPr>
            <w:drawing>
              <wp:inline distT="0" distB="0" distL="0" distR="0" wp14:anchorId="0AB64550" wp14:editId="0D8DBF38">
                <wp:extent cx="1592310" cy="766316"/>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g.jpg"/>
                        <pic:cNvPicPr/>
                      </pic:nvPicPr>
                      <pic:blipFill>
                        <a:blip r:embed="rId1">
                          <a:extLst>
                            <a:ext uri="{28A0092B-C50C-407E-A947-70E740481C1C}">
                              <a14:useLocalDpi xmlns:a14="http://schemas.microsoft.com/office/drawing/2010/main" val="0"/>
                            </a:ext>
                          </a:extLst>
                        </a:blip>
                        <a:stretch>
                          <a:fillRect/>
                        </a:stretch>
                      </pic:blipFill>
                      <pic:spPr>
                        <a:xfrm>
                          <a:off x="0" y="0"/>
                          <a:ext cx="1607064" cy="773417"/>
                        </a:xfrm>
                        <a:prstGeom prst="rect">
                          <a:avLst/>
                        </a:prstGeom>
                      </pic:spPr>
                    </pic:pic>
                  </a:graphicData>
                </a:graphic>
              </wp:inline>
            </w:drawing>
          </w:r>
        </w:p>
      </w:tc>
      <w:tc>
        <w:tcPr>
          <w:tcW w:w="6923" w:type="dxa"/>
          <w:vAlign w:val="center"/>
        </w:tcPr>
        <w:p w:rsidR="00A02A2B" w:rsidRPr="00363B8A" w:rsidRDefault="00BE626D" w:rsidP="008D095B">
          <w:pPr>
            <w:pStyle w:val="Nagwek"/>
            <w:jc w:val="center"/>
            <w:rPr>
              <w:rFonts w:ascii="Tahoma" w:hAnsi="Tahoma" w:cs="Tahoma"/>
              <w:lang w:val="de-DE"/>
            </w:rPr>
          </w:pPr>
          <w:r w:rsidRPr="00363B8A">
            <w:rPr>
              <w:rFonts w:ascii="Tahoma" w:hAnsi="Tahoma" w:cs="Tahoma"/>
              <w:lang w:val="de-DE"/>
            </w:rPr>
            <w:t>Verband der deutschen sozial-kulturellen Gesellschaften in Polen</w:t>
          </w:r>
        </w:p>
        <w:p w:rsidR="00A02A2B" w:rsidRPr="00363B8A" w:rsidRDefault="00BE626D" w:rsidP="008D095B">
          <w:pPr>
            <w:pStyle w:val="Nagwek"/>
            <w:jc w:val="center"/>
            <w:rPr>
              <w:rFonts w:ascii="Tahoma" w:hAnsi="Tahoma" w:cs="Tahoma"/>
              <w:sz w:val="16"/>
            </w:rPr>
          </w:pPr>
          <w:r w:rsidRPr="00363B8A">
            <w:rPr>
              <w:rFonts w:ascii="Tahoma" w:hAnsi="Tahoma" w:cs="Tahoma"/>
              <w:sz w:val="20"/>
            </w:rPr>
            <w:t>Związek Niemieckich Stowarzyszeń Społeczno-Kulturalnych w Polsce</w:t>
          </w:r>
        </w:p>
      </w:tc>
    </w:tr>
    <w:tr w:rsidR="00A02A2B" w:rsidRPr="00603482" w:rsidTr="00363B8A">
      <w:trPr>
        <w:trHeight w:val="570"/>
        <w:jc w:val="center"/>
      </w:trPr>
      <w:tc>
        <w:tcPr>
          <w:tcW w:w="2622" w:type="dxa"/>
          <w:vMerge/>
          <w:vAlign w:val="center"/>
        </w:tcPr>
        <w:p w:rsidR="00A02A2B" w:rsidRDefault="00A02A2B" w:rsidP="00C2451C">
          <w:pPr>
            <w:pStyle w:val="Nagwek"/>
            <w:rPr>
              <w:noProof/>
              <w:lang w:eastAsia="pl-PL"/>
            </w:rPr>
          </w:pPr>
        </w:p>
      </w:tc>
      <w:tc>
        <w:tcPr>
          <w:tcW w:w="6923" w:type="dxa"/>
          <w:vAlign w:val="center"/>
        </w:tcPr>
        <w:p w:rsidR="00A02A2B" w:rsidRPr="00363B8A" w:rsidRDefault="00A02A2B" w:rsidP="008D095B">
          <w:pPr>
            <w:pStyle w:val="Nagwek"/>
            <w:jc w:val="center"/>
            <w:rPr>
              <w:rFonts w:ascii="Tahoma" w:hAnsi="Tahoma" w:cs="Tahoma"/>
              <w:sz w:val="16"/>
            </w:rPr>
          </w:pPr>
          <w:r w:rsidRPr="00363B8A">
            <w:rPr>
              <w:rFonts w:ascii="Tahoma" w:hAnsi="Tahoma" w:cs="Tahoma"/>
              <w:sz w:val="16"/>
            </w:rPr>
            <w:t>ul. Krupnicza 15, 45-013 Opole</w:t>
          </w:r>
        </w:p>
        <w:p w:rsidR="00A02A2B" w:rsidRPr="00F07380" w:rsidRDefault="00603482" w:rsidP="008D095B">
          <w:pPr>
            <w:jc w:val="center"/>
            <w:rPr>
              <w:rFonts w:ascii="Tahoma" w:hAnsi="Tahoma" w:cs="Tahoma"/>
              <w:sz w:val="14"/>
            </w:rPr>
          </w:pPr>
          <w:r w:rsidRPr="00F07380">
            <w:rPr>
              <w:rFonts w:ascii="Tahoma" w:hAnsi="Tahoma" w:cs="Tahoma"/>
              <w:sz w:val="16"/>
            </w:rPr>
            <w:t>tel./f</w:t>
          </w:r>
          <w:r w:rsidR="00A02A2B" w:rsidRPr="00F07380">
            <w:rPr>
              <w:rFonts w:ascii="Tahoma" w:hAnsi="Tahoma" w:cs="Tahoma"/>
              <w:sz w:val="16"/>
            </w:rPr>
            <w:t xml:space="preserve">ax: </w:t>
          </w:r>
          <w:r w:rsidRPr="00F07380">
            <w:rPr>
              <w:rFonts w:ascii="Tahoma" w:hAnsi="Tahoma" w:cs="Tahoma"/>
              <w:sz w:val="16"/>
            </w:rPr>
            <w:t>774538507, e-m</w:t>
          </w:r>
          <w:r w:rsidR="00A02A2B" w:rsidRPr="00F07380">
            <w:rPr>
              <w:rFonts w:ascii="Tahoma" w:hAnsi="Tahoma" w:cs="Tahoma"/>
              <w:sz w:val="16"/>
            </w:rPr>
            <w:t>ail: biuro@vdg.pl, www.vdg.pl</w:t>
          </w:r>
        </w:p>
      </w:tc>
    </w:tr>
  </w:tbl>
  <w:p w:rsidR="00C2451C" w:rsidRPr="00F07380" w:rsidRDefault="00C2451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80"/>
    <w:rsid w:val="0003582C"/>
    <w:rsid w:val="000812E7"/>
    <w:rsid w:val="000F4B35"/>
    <w:rsid w:val="00183914"/>
    <w:rsid w:val="00204255"/>
    <w:rsid w:val="002171F1"/>
    <w:rsid w:val="0031189A"/>
    <w:rsid w:val="0031333D"/>
    <w:rsid w:val="00363B8A"/>
    <w:rsid w:val="003D4748"/>
    <w:rsid w:val="00427EF8"/>
    <w:rsid w:val="00462ED5"/>
    <w:rsid w:val="004B0D02"/>
    <w:rsid w:val="004D1F71"/>
    <w:rsid w:val="005009E1"/>
    <w:rsid w:val="005524A3"/>
    <w:rsid w:val="00552A1B"/>
    <w:rsid w:val="005620A4"/>
    <w:rsid w:val="00603482"/>
    <w:rsid w:val="00647830"/>
    <w:rsid w:val="006E7A4E"/>
    <w:rsid w:val="00863945"/>
    <w:rsid w:val="00871F43"/>
    <w:rsid w:val="008D095B"/>
    <w:rsid w:val="009A2B93"/>
    <w:rsid w:val="009F7B0A"/>
    <w:rsid w:val="00A02A2B"/>
    <w:rsid w:val="00B23ADC"/>
    <w:rsid w:val="00B50ADE"/>
    <w:rsid w:val="00B60F7B"/>
    <w:rsid w:val="00BE626D"/>
    <w:rsid w:val="00BF4BEE"/>
    <w:rsid w:val="00C2451C"/>
    <w:rsid w:val="00C30871"/>
    <w:rsid w:val="00C32891"/>
    <w:rsid w:val="00C37B4B"/>
    <w:rsid w:val="00CB03AF"/>
    <w:rsid w:val="00CB3413"/>
    <w:rsid w:val="00DB10C4"/>
    <w:rsid w:val="00DF7F5C"/>
    <w:rsid w:val="00EA667E"/>
    <w:rsid w:val="00EC4E60"/>
    <w:rsid w:val="00F07380"/>
    <w:rsid w:val="00F41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1C"/>
  </w:style>
  <w:style w:type="paragraph" w:styleId="Stopka">
    <w:name w:val="footer"/>
    <w:basedOn w:val="Normalny"/>
    <w:link w:val="StopkaZnak"/>
    <w:uiPriority w:val="99"/>
    <w:unhideWhenUsed/>
    <w:rsid w:val="00C2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1C"/>
  </w:style>
  <w:style w:type="table" w:styleId="Tabela-Siatka">
    <w:name w:val="Table Grid"/>
    <w:basedOn w:val="Standardowy"/>
    <w:uiPriority w:val="59"/>
    <w:rsid w:val="00C2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45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51C"/>
    <w:rPr>
      <w:rFonts w:ascii="Tahoma" w:hAnsi="Tahoma" w:cs="Tahoma"/>
      <w:sz w:val="16"/>
      <w:szCs w:val="16"/>
    </w:rPr>
  </w:style>
  <w:style w:type="character" w:styleId="Hipercze">
    <w:name w:val="Hyperlink"/>
    <w:basedOn w:val="Domylnaczcionkaakapitu"/>
    <w:uiPriority w:val="99"/>
    <w:unhideWhenUsed/>
    <w:rsid w:val="00A02A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5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51C"/>
  </w:style>
  <w:style w:type="paragraph" w:styleId="Stopka">
    <w:name w:val="footer"/>
    <w:basedOn w:val="Normalny"/>
    <w:link w:val="StopkaZnak"/>
    <w:uiPriority w:val="99"/>
    <w:unhideWhenUsed/>
    <w:rsid w:val="00C245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51C"/>
  </w:style>
  <w:style w:type="table" w:styleId="Tabela-Siatka">
    <w:name w:val="Table Grid"/>
    <w:basedOn w:val="Standardowy"/>
    <w:uiPriority w:val="59"/>
    <w:rsid w:val="00C2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45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51C"/>
    <w:rPr>
      <w:rFonts w:ascii="Tahoma" w:hAnsi="Tahoma" w:cs="Tahoma"/>
      <w:sz w:val="16"/>
      <w:szCs w:val="16"/>
    </w:rPr>
  </w:style>
  <w:style w:type="character" w:styleId="Hipercze">
    <w:name w:val="Hyperlink"/>
    <w:basedOn w:val="Domylnaczcionkaakapitu"/>
    <w:uiPriority w:val="99"/>
    <w:unhideWhenUsed/>
    <w:rsid w:val="00A02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Szablony\Briefkopf_VdG.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Briefkopf_VdG</Template>
  <TotalTime>0</TotalTime>
  <Pages>1</Pages>
  <Words>793</Words>
  <Characters>4996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2019-05-13T10:01:00Z</cp:lastPrinted>
  <dcterms:created xsi:type="dcterms:W3CDTF">2019-05-13T08:27:00Z</dcterms:created>
  <dcterms:modified xsi:type="dcterms:W3CDTF">2019-05-13T10:02:00Z</dcterms:modified>
</cp:coreProperties>
</file>